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EBEC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p>
    <w:p w14:paraId="2089AB7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p>
    <w:p w14:paraId="50F141F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p>
    <w:p w14:paraId="4BBF707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color w:val="000000" w:themeColor="text1"/>
          <w:sz w:val="44"/>
          <w:szCs w:val="44"/>
          <w14:textFill>
            <w14:solidFill>
              <w14:schemeClr w14:val="tx1"/>
            </w14:solidFill>
          </w14:textFill>
        </w:rPr>
        <w:t>关于向社会公开征求</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w:t>
      </w:r>
      <w:r>
        <w:rPr>
          <w:rFonts w:hint="default" w:ascii="Times New Roman" w:hAnsi="Times New Roman" w:eastAsia="方正小标宋_GBK" w:cs="Times New Roman"/>
          <w:color w:val="000000" w:themeColor="text1"/>
          <w:sz w:val="44"/>
          <w:szCs w:val="44"/>
          <w14:textFill>
            <w14:solidFill>
              <w14:schemeClr w14:val="tx1"/>
            </w14:solidFill>
          </w14:textFill>
        </w:rPr>
        <w:t>淮安市“双高协同”全域推广实施方案（</w:t>
      </w:r>
      <w:r>
        <w:rPr>
          <w:rFonts w:hint="eastAsia" w:ascii="Times New Roman" w:hAnsi="Times New Roman" w:eastAsia="方正小标宋_GBK" w:cs="Times New Roman"/>
          <w:color w:val="000000" w:themeColor="text1"/>
          <w:sz w:val="44"/>
          <w:szCs w:val="44"/>
          <w:lang w:eastAsia="zh-CN"/>
          <w14:textFill>
            <w14:solidFill>
              <w14:schemeClr w14:val="tx1"/>
            </w14:solidFill>
          </w14:textFill>
        </w:rPr>
        <w:t>征求意见稿</w:t>
      </w:r>
      <w:r>
        <w:rPr>
          <w:rFonts w:hint="default" w:ascii="Times New Roman" w:hAnsi="Times New Roman" w:eastAsia="方正小标宋_GBK" w:cs="Times New Roman"/>
          <w:color w:val="000000" w:themeColor="text1"/>
          <w:sz w:val="44"/>
          <w:szCs w:val="44"/>
          <w14:textFill>
            <w14:solidFill>
              <w14:schemeClr w14:val="tx1"/>
            </w14:solidFill>
          </w14:textFill>
        </w:rPr>
        <w:t>）</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w:t>
      </w:r>
      <w:r>
        <w:rPr>
          <w:rFonts w:hint="eastAsia" w:ascii="Times New Roman" w:hAnsi="Times New Roman" w:eastAsia="方正小标宋_GBK" w:cs="Times New Roman"/>
          <w:color w:val="000000" w:themeColor="text1"/>
          <w:sz w:val="44"/>
          <w:szCs w:val="44"/>
          <w14:textFill>
            <w14:solidFill>
              <w14:schemeClr w14:val="tx1"/>
            </w14:solidFill>
          </w14:textFill>
        </w:rPr>
        <w:t>意见的</w:t>
      </w:r>
    </w:p>
    <w:p w14:paraId="7AB34E9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color w:val="000000" w:themeColor="text1"/>
          <w:sz w:val="44"/>
          <w:szCs w:val="44"/>
          <w14:textFill>
            <w14:solidFill>
              <w14:schemeClr w14:val="tx1"/>
            </w14:solidFill>
          </w14:textFill>
        </w:rPr>
        <w:t>公告</w:t>
      </w:r>
    </w:p>
    <w:p w14:paraId="1C0830B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pPr>
    </w:p>
    <w:p w14:paraId="221662F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p w14:paraId="7AB27C7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为进一步贯彻省委、省政府“双高协同”部署，推动淮安高新区试点经验向全市省级以上开发园区辐射覆盖，</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市科技局牵头起草</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《淮安市“双高协同”全域推广实施方案（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征求意见稿</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。向社会公开征求意见。</w:t>
      </w:r>
    </w:p>
    <w:p w14:paraId="2B5096D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一、征求意见时间为202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月1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日至202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日</w:t>
      </w:r>
      <w:bookmarkStart w:id="0" w:name="_GoBack"/>
      <w:bookmarkEnd w:id="0"/>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14:paraId="2AF0CC9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二、意见反馈方式</w:t>
      </w:r>
    </w:p>
    <w:p w14:paraId="4CCC36C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联系人</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：胡月坤；</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电话</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83932067</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邮箱</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instrText xml:space="preserve"> HYPERLINK "mailto:5657847@qq.com。" </w:instrTex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fldChar w:fldCharType="separate"/>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5657847</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qq</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.com。</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fldChar w:fldCharType="end"/>
      </w:r>
    </w:p>
    <w:p w14:paraId="38334C2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欢迎有关单位和社会各界人士对征求意见稿提出意见建议，感谢您的支持和参与!</w:t>
      </w:r>
    </w:p>
    <w:p w14:paraId="4656A76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p>
    <w:p w14:paraId="7CC1D93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附件：</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淮安市“双高协同”全域推广实施方案（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送审稿</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p>
    <w:p w14:paraId="3EE8473A">
      <w:pPr>
        <w:keepNext w:val="0"/>
        <w:keepLines w:val="0"/>
        <w:pageBreakBefore w:val="0"/>
        <w:widowControl w:val="0"/>
        <w:shd w:val="clear"/>
        <w:kinsoku/>
        <w:wordWrap/>
        <w:overflowPunct/>
        <w:topLinePunct w:val="0"/>
        <w:autoSpaceDE/>
        <w:autoSpaceDN/>
        <w:bidi w:val="0"/>
        <w:adjustRightInd/>
        <w:snapToGrid/>
        <w:spacing w:line="560" w:lineRule="exact"/>
        <w:ind w:firstLine="5440" w:firstLineChars="17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p>
    <w:p w14:paraId="4E462EDC">
      <w:pPr>
        <w:keepNext w:val="0"/>
        <w:keepLines w:val="0"/>
        <w:pageBreakBefore w:val="0"/>
        <w:widowControl w:val="0"/>
        <w:shd w:val="clear"/>
        <w:kinsoku/>
        <w:wordWrap/>
        <w:overflowPunct/>
        <w:topLinePunct w:val="0"/>
        <w:autoSpaceDE/>
        <w:autoSpaceDN/>
        <w:bidi w:val="0"/>
        <w:adjustRightInd/>
        <w:snapToGrid/>
        <w:spacing w:line="560" w:lineRule="exact"/>
        <w:ind w:firstLine="5440" w:firstLineChars="17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淮安市科学技术局</w:t>
      </w:r>
    </w:p>
    <w:p w14:paraId="3DFDD236">
      <w:pPr>
        <w:keepNext w:val="0"/>
        <w:keepLines w:val="0"/>
        <w:pageBreakBefore w:val="0"/>
        <w:widowControl w:val="0"/>
        <w:shd w:val="clear"/>
        <w:kinsoku/>
        <w:wordWrap/>
        <w:overflowPunct/>
        <w:topLinePunct w:val="0"/>
        <w:autoSpaceDE/>
        <w:autoSpaceDN/>
        <w:bidi w:val="0"/>
        <w:adjustRightInd/>
        <w:snapToGrid/>
        <w:spacing w:line="560" w:lineRule="exact"/>
        <w:ind w:firstLine="5440" w:firstLineChars="1700"/>
        <w:textAlignment w:val="auto"/>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2026年8月12日</w:t>
      </w:r>
    </w:p>
    <w:p w14:paraId="141D0E20">
      <w:pP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br w:type="page"/>
      </w:r>
    </w:p>
    <w:p w14:paraId="5A173D7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附件</w:t>
      </w:r>
    </w:p>
    <w:p w14:paraId="7C843016">
      <w:pPr>
        <w:shd w:val="clear"/>
        <w:spacing w:line="66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5EA22E55">
      <w:pPr>
        <w:shd w:val="clear"/>
        <w:spacing w:line="66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淮安市“双高协同”全域推广实施方案</w:t>
      </w:r>
    </w:p>
    <w:p w14:paraId="79AA3844">
      <w:pPr>
        <w:shd w:val="clear"/>
        <w:spacing w:line="660" w:lineRule="exact"/>
        <w:jc w:val="center"/>
        <w:rPr>
          <w:rFonts w:hint="default" w:ascii="Times New Roman" w:hAnsi="Times New Roman" w:eastAsia="方正楷体_GBK" w:cs="Times New Roman"/>
          <w:b w:val="0"/>
          <w:bCs/>
          <w:color w:val="000000" w:themeColor="text1"/>
          <w:sz w:val="32"/>
          <w:szCs w:val="32"/>
          <w14:textFill>
            <w14:solidFill>
              <w14:schemeClr w14:val="tx1"/>
            </w14:solidFill>
          </w14:textFill>
        </w:rPr>
      </w:pPr>
      <w:r>
        <w:rPr>
          <w:rFonts w:hint="default" w:ascii="Times New Roman" w:hAnsi="Times New Roman" w:eastAsia="方正楷体_GBK" w:cs="Times New Roman"/>
          <w:b w:val="0"/>
          <w:bCs/>
          <w:color w:val="000000" w:themeColor="text1"/>
          <w:sz w:val="32"/>
          <w:szCs w:val="32"/>
          <w14:textFill>
            <w14:solidFill>
              <w14:schemeClr w14:val="tx1"/>
            </w14:solidFill>
          </w14:textFill>
        </w:rPr>
        <w:t>（2026—2028年）</w:t>
      </w:r>
    </w:p>
    <w:p w14:paraId="55B4D517">
      <w:pPr>
        <w:shd w:val="clear"/>
        <w:spacing w:line="660" w:lineRule="exact"/>
        <w:jc w:val="center"/>
        <w:rPr>
          <w:rFonts w:hint="eastAsia" w:ascii="Times New Roman" w:hAnsi="Times New Roman" w:eastAsia="方正楷体_GBK" w:cs="Times New Roman"/>
          <w:b w:val="0"/>
          <w:bCs/>
          <w:color w:val="000000" w:themeColor="text1"/>
          <w:sz w:val="32"/>
          <w:szCs w:val="32"/>
          <w:lang w:eastAsia="zh-CN"/>
          <w14:textFill>
            <w14:solidFill>
              <w14:schemeClr w14:val="tx1"/>
            </w14:solidFill>
          </w14:textFill>
        </w:rPr>
      </w:pPr>
      <w:r>
        <w:rPr>
          <w:rFonts w:hint="eastAsia" w:ascii="Times New Roman" w:hAnsi="Times New Roman" w:eastAsia="方正楷体_GBK" w:cs="Times New Roman"/>
          <w:b w:val="0"/>
          <w:bCs/>
          <w:color w:val="000000" w:themeColor="text1"/>
          <w:sz w:val="32"/>
          <w:szCs w:val="32"/>
          <w:lang w:eastAsia="zh-CN"/>
          <w14:textFill>
            <w14:solidFill>
              <w14:schemeClr w14:val="tx1"/>
            </w14:solidFill>
          </w14:textFill>
        </w:rPr>
        <w:t>（</w:t>
      </w:r>
      <w:r>
        <w:rPr>
          <w:rFonts w:hint="eastAsia" w:ascii="方正楷体_GB2312" w:hAnsi="方正楷体_GB2312" w:eastAsia="方正楷体_GB2312" w:cs="方正楷体_GB2312"/>
          <w:b w:val="0"/>
          <w:bCs/>
          <w:color w:val="000000" w:themeColor="text1"/>
          <w:sz w:val="32"/>
          <w:szCs w:val="32"/>
          <w:lang w:eastAsia="zh-CN"/>
          <w14:textFill>
            <w14:solidFill>
              <w14:schemeClr w14:val="tx1"/>
            </w14:solidFill>
          </w14:textFill>
        </w:rPr>
        <w:t>送审稿</w:t>
      </w:r>
      <w:r>
        <w:rPr>
          <w:rFonts w:hint="eastAsia" w:ascii="Times New Roman" w:hAnsi="Times New Roman" w:eastAsia="方正楷体_GBK" w:cs="Times New Roman"/>
          <w:b w:val="0"/>
          <w:bCs/>
          <w:color w:val="000000" w:themeColor="text1"/>
          <w:sz w:val="32"/>
          <w:szCs w:val="32"/>
          <w:lang w:eastAsia="zh-CN"/>
          <w14:textFill>
            <w14:solidFill>
              <w14:schemeClr w14:val="tx1"/>
            </w14:solidFill>
          </w14:textFill>
        </w:rPr>
        <w:t>）</w:t>
      </w:r>
    </w:p>
    <w:p w14:paraId="137A1573">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p>
    <w:p w14:paraId="2288EF3A">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为进一步贯彻省委、省政府“双高协同”部署，推动淮安高新区试点经验向全市省级以上开发园区辐射覆盖，充分发挥开发园区产业主阵地与高校院所科创策源地双向赋能作用，促进教育、科技、人才一体化配置，加速高校院所优质科教资源向产业一线集聚，加快培育新质生产力，以“双高协同”全域开展助力淮安更好打造长三角北部重要产业科技创新高地，特制定本实施方案。</w:t>
      </w:r>
    </w:p>
    <w:p w14:paraId="6C6EB6B7">
      <w:pPr>
        <w:shd w:val="clear"/>
        <w:spacing w:line="560" w:lineRule="exact"/>
        <w:ind w:firstLine="640" w:firstLineChars="200"/>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一、总体思路</w:t>
      </w:r>
    </w:p>
    <w:p w14:paraId="7E2F3E0E">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坚持以培育新质生产力为战略目标，以全市省级以上开发园区和高校院所两大优势主体为发力点，紧紧围绕市委“项目引培与科技创新双轮驱动”工作主线，探索“有组织科研+有组织转化”模式，围绕一个产业方向、打造一个科创平台、集聚一批人才队伍、引培一批创新主体、营造一个创新生态，促进开发园区与高校院所双向适配、双向赋能，为全省“双高协同”全域拓展贡献淮安示范样本。</w:t>
      </w:r>
    </w:p>
    <w:p w14:paraId="75B7BC9C">
      <w:pPr>
        <w:shd w:val="clear"/>
        <w:spacing w:line="560" w:lineRule="exact"/>
        <w:ind w:firstLine="643"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——坚持“双新领航”。</w:t>
      </w:r>
      <w:r>
        <w:rPr>
          <w:rFonts w:hint="default" w:ascii="Times New Roman" w:hAnsi="Times New Roman" w:eastAsia="方正仿宋_GBK" w:cs="Times New Roman"/>
          <w:color w:val="000000" w:themeColor="text1"/>
          <w:sz w:val="32"/>
          <w:szCs w:val="32"/>
          <w14:textFill>
            <w14:solidFill>
              <w14:schemeClr w14:val="tx1"/>
            </w14:solidFill>
          </w14:textFill>
        </w:rPr>
        <w:t>以开发园区新赛道培育和高校新工科、新农科、新医科建设为突破口，聚焦全市“353”战略性新兴产业集群，建立“产业需求+学科建设”两张清单，围绕集成电路、航空航天、生物医药、低空经济、新型储能、智能机器人</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、医养康养</w:t>
      </w:r>
      <w:r>
        <w:rPr>
          <w:rFonts w:hint="default" w:ascii="Times New Roman" w:hAnsi="Times New Roman" w:eastAsia="方正仿宋_GBK" w:cs="Times New Roman"/>
          <w:color w:val="000000" w:themeColor="text1"/>
          <w:sz w:val="32"/>
          <w:szCs w:val="32"/>
          <w14:textFill>
            <w14:solidFill>
              <w14:schemeClr w14:val="tx1"/>
            </w14:solidFill>
          </w14:textFill>
        </w:rPr>
        <w:t>等领域，共建联合实验室、概念验证中心等载体，推动产业链与学科链精准对接、协同发展。</w:t>
      </w:r>
    </w:p>
    <w:p w14:paraId="70F7A798">
      <w:pPr>
        <w:shd w:val="clear"/>
        <w:spacing w:line="560" w:lineRule="exact"/>
        <w:ind w:firstLine="643"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——坚持“双优聚合”。</w:t>
      </w:r>
      <w:r>
        <w:rPr>
          <w:rFonts w:hint="default" w:ascii="Times New Roman" w:hAnsi="Times New Roman" w:eastAsia="方正仿宋_GBK" w:cs="Times New Roman"/>
          <w:color w:val="000000" w:themeColor="text1"/>
          <w:sz w:val="32"/>
          <w:szCs w:val="32"/>
          <w14:textFill>
            <w14:solidFill>
              <w14:schemeClr w14:val="tx1"/>
            </w14:solidFill>
          </w14:textFill>
        </w:rPr>
        <w:t>开发园区围绕主导产业方向优选企业、集聚要素；在淮高校全面结对、深度融入园区产业生态；外地高水平大学精准链接、导入高端创新资源。</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以企业技术需求为牵引，深化校地体系化产学研合作，</w:t>
      </w:r>
      <w:r>
        <w:rPr>
          <w:rFonts w:hint="default" w:ascii="Times New Roman" w:hAnsi="Times New Roman" w:eastAsia="方正仿宋_GBK" w:cs="Times New Roman"/>
          <w:color w:val="000000" w:themeColor="text1"/>
          <w:sz w:val="32"/>
          <w:szCs w:val="32"/>
          <w14:textFill>
            <w14:solidFill>
              <w14:schemeClr w14:val="tx1"/>
            </w14:solidFill>
          </w14:textFill>
        </w:rPr>
        <w:t>推动人才和科研资源向园区一线下沉，共同构建“产业集群—学科集群”双向奔赴机制。</w:t>
      </w:r>
    </w:p>
    <w:p w14:paraId="535FA354">
      <w:pPr>
        <w:shd w:val="clear"/>
        <w:spacing w:line="560" w:lineRule="exact"/>
        <w:ind w:firstLine="643"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——坚持“双擎共振”。</w:t>
      </w:r>
      <w:r>
        <w:rPr>
          <w:rFonts w:hint="default" w:ascii="Times New Roman" w:hAnsi="Times New Roman" w:eastAsia="方正仿宋_GBK" w:cs="Times New Roman"/>
          <w:color w:val="000000" w:themeColor="text1"/>
          <w:sz w:val="32"/>
          <w:szCs w:val="32"/>
          <w14:textFill>
            <w14:solidFill>
              <w14:schemeClr w14:val="tx1"/>
            </w14:solidFill>
          </w14:textFill>
        </w:rPr>
        <w:t>以开发园区产业引擎和高校院所创新引擎同频共振为目标，构建开发园区与高校院所大型仪器、科研数据、中试平台等资源开放共享体系，激发相互牵引、互促共进的内生动力；完善人才共引共育机制，畅通科技镇长团、科技副总、科创领航员、产业指导员、技术经理人五支队伍协同发力渠道，实现教育科技人才良性循环。</w:t>
      </w:r>
    </w:p>
    <w:p w14:paraId="04C5133E">
      <w:pPr>
        <w:shd w:val="clear"/>
        <w:spacing w:line="560" w:lineRule="exact"/>
        <w:ind w:firstLine="640" w:firstLineChars="200"/>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二、工作目标</w:t>
      </w:r>
    </w:p>
    <w:p w14:paraId="50E6CDAC">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到2028年，实现全市省级以上开发园区与高校院所协同创新全覆盖，构建以科技型企业和高校创新团队为主体，市区联动、“一园多校”深度协同的发展格局，淮安高新区省级试点示范效应充分释放，宁淮智能制造产业园、淮安经开区、淮安工业园区等特色协同模式基本成型。</w:t>
      </w:r>
    </w:p>
    <w:p w14:paraId="2FBE665B">
      <w:pPr>
        <w:shd w:val="clear"/>
        <w:spacing w:line="560" w:lineRule="exact"/>
        <w:ind w:firstLine="643"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——产业能级显著跃升。</w:t>
      </w:r>
      <w:r>
        <w:rPr>
          <w:rFonts w:hint="default" w:ascii="Times New Roman" w:hAnsi="Times New Roman" w:eastAsia="方正仿宋_GBK" w:cs="Times New Roman"/>
          <w:color w:val="000000" w:themeColor="text1"/>
          <w:sz w:val="32"/>
          <w:szCs w:val="32"/>
          <w14:textFill>
            <w14:solidFill>
              <w14:schemeClr w14:val="tx1"/>
            </w14:solidFill>
          </w14:textFill>
        </w:rPr>
        <w:t>每个开发园区形成1—2个主导产业，探索拓展集成电路、航空航天、生物医药、低空经济、新型储能、智能机器人等领域新赛道，高新技术产业产值占规上工业比重达4</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14:textFill>
            <w14:solidFill>
              <w14:schemeClr w14:val="tx1"/>
            </w14:solidFill>
          </w14:textFill>
        </w:rPr>
        <w:t>%以上，打造具有区域竞争力的创新型产业集群。</w:t>
      </w:r>
    </w:p>
    <w:p w14:paraId="4342AE53">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——平台载体提档升级。累计共建省级以上重点实验室、概念验证中心、中试平台、企业技术中心、产业技术工程化中心等创新平台1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个以上，规上企业研发机构建有率持续提升，“中试—孵化—产业化”全链条服务体系加速构建。</w:t>
      </w:r>
    </w:p>
    <w:p w14:paraId="6562931E">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——人才支撑持续增强。累计联合培养研究生200人以上，集聚服务主导产业的领军人才（团队）150人以上，引进培育省级以上重点人才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15</w:t>
      </w:r>
      <w:r>
        <w:rPr>
          <w:rFonts w:hint="default" w:ascii="Times New Roman" w:hAnsi="Times New Roman" w:eastAsia="方正仿宋_GBK" w:cs="Times New Roman"/>
          <w:color w:val="000000" w:themeColor="text1"/>
          <w:sz w:val="32"/>
          <w:szCs w:val="32"/>
          <w14:textFill>
            <w14:solidFill>
              <w14:schemeClr w14:val="tx1"/>
            </w14:solidFill>
          </w14:textFill>
        </w:rPr>
        <w:t>人以上，人才队伍协同服务能力全面提升。</w:t>
      </w:r>
    </w:p>
    <w:p w14:paraId="7B590A32">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——创新主体蓬勃发展。累计培育高新技术企业1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00家、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省</w:t>
      </w:r>
      <w:r>
        <w:rPr>
          <w:rFonts w:hint="default" w:ascii="Times New Roman" w:hAnsi="Times New Roman" w:eastAsia="方正仿宋_GBK" w:cs="Times New Roman"/>
          <w:color w:val="000000" w:themeColor="text1"/>
          <w:sz w:val="32"/>
          <w:szCs w:val="32"/>
          <w14:textFill>
            <w14:solidFill>
              <w14:schemeClr w14:val="tx1"/>
            </w14:solidFill>
          </w14:textFill>
        </w:rPr>
        <w:t>瞪羚企业20家、</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省</w:t>
      </w:r>
      <w:r>
        <w:rPr>
          <w:rFonts w:hint="default" w:ascii="Times New Roman" w:hAnsi="Times New Roman" w:eastAsia="方正仿宋_GBK" w:cs="Times New Roman"/>
          <w:color w:val="000000" w:themeColor="text1"/>
          <w:sz w:val="32"/>
          <w:szCs w:val="32"/>
          <w14:textFill>
            <w14:solidFill>
              <w14:schemeClr w14:val="tx1"/>
            </w14:solidFill>
          </w14:textFill>
        </w:rPr>
        <w:t>潜在独角兽企业5家，</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科技领军企业</w:t>
      </w:r>
      <w:r>
        <w:rPr>
          <w:rFonts w:hint="default" w:ascii="Times New Roman" w:hAnsi="Times New Roman" w:eastAsia="方正仿宋_GBK" w:cs="Times New Roman"/>
          <w:color w:val="000000" w:themeColor="text1"/>
          <w:sz w:val="32"/>
          <w:szCs w:val="32"/>
          <w14:textFill>
            <w14:solidFill>
              <w14:schemeClr w14:val="tx1"/>
            </w14:solidFill>
          </w14:textFill>
        </w:rPr>
        <w:t>、“单项冠军</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隐形冠军”不断涌现。</w:t>
      </w:r>
    </w:p>
    <w:p w14:paraId="10346073">
      <w:pPr>
        <w:shd w:val="clear"/>
        <w:spacing w:line="560" w:lineRule="exact"/>
        <w:ind w:firstLine="640" w:firstLineChars="200"/>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三、重点任务</w:t>
      </w:r>
    </w:p>
    <w:p w14:paraId="7ED7CA4F">
      <w:pPr>
        <w:shd w:val="clear"/>
        <w:spacing w:line="560"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（一）协同推进园区新质转型</w:t>
      </w:r>
    </w:p>
    <w:p w14:paraId="2648D5B7">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开发园区聚焦“353”产业集群</w:t>
      </w:r>
      <w:r>
        <w:rPr>
          <w:rFonts w:hint="default" w:ascii="Times New Roman" w:hAnsi="Times New Roman" w:eastAsia="方正仿宋_GBK" w:cs="Times New Roman"/>
          <w:color w:val="000000" w:themeColor="text1"/>
          <w:kern w:val="0"/>
          <w:sz w:val="32"/>
          <w:szCs w:val="32"/>
          <w14:textFill>
            <w14:solidFill>
              <w14:schemeClr w14:val="tx1"/>
            </w14:solidFill>
          </w14:textFill>
        </w:rPr>
        <w:t>明确1</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color w:val="000000" w:themeColor="text1"/>
          <w:kern w:val="0"/>
          <w:sz w:val="32"/>
          <w:szCs w:val="32"/>
          <w14:textFill>
            <w14:solidFill>
              <w14:schemeClr w14:val="tx1"/>
            </w14:solidFill>
          </w14:textFill>
        </w:rPr>
        <w:t>2个主攻产业赛道，</w:t>
      </w:r>
      <w:r>
        <w:rPr>
          <w:rFonts w:hint="default" w:ascii="Times New Roman" w:hAnsi="Times New Roman" w:eastAsia="方正仿宋_GBK" w:cs="Times New Roman"/>
          <w:color w:val="000000" w:themeColor="text1"/>
          <w:sz w:val="32"/>
          <w:szCs w:val="32"/>
          <w14:textFill>
            <w14:solidFill>
              <w14:schemeClr w14:val="tx1"/>
            </w14:solidFill>
          </w14:textFill>
        </w:rPr>
        <w:t>精准绘制产业链图谱，系统梳理“卡点堵点”，形成技术攻关需求清单，搭建开放中试熟化载体，丰富产业化落地应用场景。高校院所围绕园区主导产业匹配优势学科资源，推动特色学科与园区产业集群精准映射，深度参与园区产业规划与技术路线论证。校地双方联合推行“企业出题、高校解题、园区赋能”攻关模式，支持企业牵头组建创新联合体，高校院所作为核心成员深度参与，联合申报省市级重大科技专项，形成“需求牵引—技术突破—产业升级”良性循环。深化宁淮合作，围绕产业强链、创新赋能工作，着力构建产学研用融合创新体系</w:t>
      </w:r>
    </w:p>
    <w:p w14:paraId="3F3C6CCE">
      <w:pPr>
        <w:shd w:val="clear"/>
        <w:spacing w:line="560"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（二）协同推动平台建设提档</w:t>
      </w:r>
    </w:p>
    <w:p w14:paraId="1CC5AB94">
      <w:pPr>
        <w:shd w:val="clear"/>
        <w:spacing w:line="560" w:lineRule="exact"/>
        <w:ind w:firstLine="640" w:firstLineChars="200"/>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开发园区统筹土地、资金与产业政策资源，推动企业开放生产线、测试数据等产业场景，鼓励企业参与科研仪器设备入网，依托现有载体打造“中试—孵化—产业化”闭环。高校院所推动优质科教资源实质性导入园区，实体化运行共建的省级重点实验室、概念验证中心、研究生工作站等平台，开展科技成果源头挖掘与初期孵化，</w:t>
      </w:r>
      <w:r>
        <w:rPr>
          <w:rFonts w:hint="default" w:ascii="Times New Roman" w:hAnsi="Times New Roman" w:eastAsia="方正仿宋_GBK" w:cs="Times New Roman"/>
          <w:color w:val="000000" w:themeColor="text1"/>
          <w:kern w:val="0"/>
          <w:sz w:val="32"/>
          <w:szCs w:val="32"/>
          <w14:textFill>
            <w14:solidFill>
              <w14:schemeClr w14:val="tx1"/>
            </w14:solidFill>
          </w14:textFill>
        </w:rPr>
        <w:t>探索“大学科技园孵化+产业园区落地”联动转化模式</w:t>
      </w:r>
      <w:r>
        <w:rPr>
          <w:rFonts w:hint="default" w:ascii="Times New Roman" w:hAnsi="Times New Roman" w:eastAsia="方正仿宋_GBK" w:cs="Times New Roman"/>
          <w:color w:val="000000" w:themeColor="text1"/>
          <w:sz w:val="32"/>
          <w:szCs w:val="32"/>
          <w14:textFill>
            <w14:solidFill>
              <w14:schemeClr w14:val="tx1"/>
            </w14:solidFill>
          </w14:textFill>
        </w:rPr>
        <w:t>，推动创新要素向园区集聚。推动引育一批新型研发机构</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围绕主导产业方向，吸引高水平大学、科研院所来淮设立产业技术创新研究院、技术转移转化中心等独立法人新型研发机构。支持现有新型研发机构提质增效，强化自我造血能力</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14:paraId="5330739D">
      <w:pPr>
        <w:shd w:val="clear"/>
        <w:spacing w:line="560"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（三）协同培养产教融合人才</w:t>
      </w:r>
    </w:p>
    <w:p w14:paraId="1EE0F35E">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开发园区建立常态化人才需求征集机制，联合高校院所实施“双落户”引才计划，支持企业聘任高校专家担任科创领航员、科技副总，推荐企业技术骨干入校参与专业课程与实训体系建设，保障协同高校毕业生在园区高质量就业。高校院所完善教师校企双聘管理制度，鼓励教师到园区企业兼职或携成果创业，</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在职称晋升和绩效考核中将产学研成果与论文专利等效认定</w:t>
      </w:r>
      <w:r>
        <w:rPr>
          <w:rFonts w:hint="default" w:ascii="Times New Roman" w:hAnsi="Times New Roman" w:eastAsia="方正仿宋_GBK" w:cs="Times New Roman"/>
          <w:color w:val="000000" w:themeColor="text1"/>
          <w:sz w:val="32"/>
          <w:szCs w:val="32"/>
          <w14:textFill>
            <w14:solidFill>
              <w14:schemeClr w14:val="tx1"/>
            </w14:solidFill>
          </w14:textFill>
        </w:rPr>
        <w:t>，聘任企业专家担任产业教授，围绕园区用工需求设立订单班、现代学徒制等协同育人项目。校地双方联合统筹科技镇长团、科创领航员、科技副总、产业指导员、技术经理人五支队伍开展“一园区一团队”常态化服务。</w:t>
      </w:r>
    </w:p>
    <w:p w14:paraId="0CE0DFB7">
      <w:pPr>
        <w:shd w:val="clear"/>
        <w:spacing w:line="560"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（四）协同壮大科技创新主体</w:t>
      </w:r>
    </w:p>
    <w:p w14:paraId="6A508596">
      <w:pPr>
        <w:shd w:val="clear"/>
        <w:spacing w:line="560" w:lineRule="exact"/>
        <w:ind w:firstLine="640" w:firstLineChars="20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开发园区运用大数据手段建立</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“科技型中小企业—高新技术企业—瞪羚企业—科技领军企业”梯度培育</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机制</w:t>
      </w:r>
      <w:r>
        <w:rPr>
          <w:rFonts w:hint="default" w:ascii="Times New Roman" w:hAnsi="Times New Roman" w:eastAsia="方正仿宋_GBK" w:cs="Times New Roman"/>
          <w:color w:val="000000" w:themeColor="text1"/>
          <w:sz w:val="32"/>
          <w:szCs w:val="32"/>
          <w14:textFill>
            <w14:solidFill>
              <w14:schemeClr w14:val="tx1"/>
            </w14:solidFill>
          </w14:textFill>
        </w:rPr>
        <w:t>，落实研发费用加计扣除等惠企政策，引导企业建立研发准备金制度，推动企业研发机构提档升级，梳理重点培育项目并开放应用场景，</w:t>
      </w:r>
      <w:r>
        <w:rPr>
          <w:rFonts w:hint="default" w:ascii="Times New Roman" w:hAnsi="Times New Roman" w:eastAsia="方正仿宋_GBK" w:cs="Times New Roman"/>
          <w:color w:val="000000" w:themeColor="text1"/>
          <w:kern w:val="0"/>
          <w:sz w:val="32"/>
          <w:szCs w:val="32"/>
          <w14:textFill>
            <w14:solidFill>
              <w14:schemeClr w14:val="tx1"/>
            </w14:solidFill>
          </w14:textFill>
        </w:rPr>
        <w:t>联合高校院所实施技术攻关和科技成果转化项目</w:t>
      </w:r>
      <w:r>
        <w:rPr>
          <w:rFonts w:hint="default" w:ascii="Times New Roman" w:hAnsi="Times New Roman" w:eastAsia="方正仿宋_GBK" w:cs="Times New Roman"/>
          <w:color w:val="000000" w:themeColor="text1"/>
          <w:sz w:val="32"/>
          <w:szCs w:val="32"/>
          <w14:textFill>
            <w14:solidFill>
              <w14:schemeClr w14:val="tx1"/>
            </w14:solidFill>
          </w14:textFill>
        </w:rPr>
        <w:t>。高校院所选派专家深度参与园区科技型项目研判，深化校地联合招商机制，引进产业适配度高、科创属性强、发展潜力好的科技项目，参与企业研发机构建设，联合实施专利转化与工艺升级项目，提升企业核心竞争力。校地双方加大联合攻关项目、创新联合体支持力度，共同举办创新创业赛事促进科技型项目孵化落地。支持企业牵头，建设重点实验室、中试平台，激发企业原始创新力</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14:paraId="2B6FBD18">
      <w:pPr>
        <w:shd w:val="clear"/>
        <w:spacing w:line="560"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（五）协同营造创新生态环境</w:t>
      </w:r>
    </w:p>
    <w:p w14:paraId="6000FD28">
      <w:pPr>
        <w:shd w:val="clear"/>
        <w:spacing w:line="56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开发园区设立科创基金，加大对创新要素资源保障力度，在专利产权维护、人才政策保障方面强化支撑，围绕“人工智能+制造”“智慧园区”等方向开放应用场景，推动新技术新产品在园区率先首试首用、迭代优化。高校院所组织专家团队联合园区定期开展企业服务，针对性开展技术熟化、二次开发和工程化验证，建立“筛选—验证—中试—落地”的成果转化全流程跟踪机制，推动新技术新产品在园区落地转化。校地双方常态化举办“淮企进高校、专家进淮企”双进活动，定期发布产业技术需求、科技成果供给榜单，建立“揭榜挂帅”常态化对接机制，共同构建政产学研金服用一体化创新生态。积极探索“研发在外地、转化在淮安”的协同创新模式，借力域外高校治理资源，前置挖掘优质科技成果，打通异地创新资源导入通道。</w:t>
      </w:r>
    </w:p>
    <w:p w14:paraId="02E023A3">
      <w:pPr>
        <w:shd w:val="clear"/>
        <w:spacing w:line="552" w:lineRule="exact"/>
        <w:ind w:firstLine="640" w:firstLineChars="200"/>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四、支持政策</w:t>
      </w:r>
    </w:p>
    <w:p w14:paraId="0A4365A2">
      <w:pPr>
        <w:shd w:val="clear"/>
        <w:spacing w:line="552"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（一）创新平台倾斜支持</w:t>
      </w:r>
    </w:p>
    <w:p w14:paraId="7DC0D1B6">
      <w:pPr>
        <w:shd w:val="clear"/>
        <w:spacing w:line="552" w:lineRule="exact"/>
        <w:ind w:firstLine="640" w:firstLineChars="200"/>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市科技局对园区与高校院所联合共建平台择优推荐申报国家级、省级重大创新平台，在市重点实验室、工程技术研究中心等市级平台认定中设立“双高协同”专项通道，不占所在县区常规推荐名额。对园区</w:t>
      </w:r>
      <w:r>
        <w:rPr>
          <w:rFonts w:hint="default" w:ascii="Times New Roman" w:hAnsi="Times New Roman" w:eastAsia="方正仿宋_GBK" w:cs="Times New Roman"/>
          <w:color w:val="000000" w:themeColor="text1"/>
          <w:kern w:val="0"/>
          <w:sz w:val="32"/>
          <w:szCs w:val="32"/>
          <w14:textFill>
            <w14:solidFill>
              <w14:schemeClr w14:val="tx1"/>
            </w14:solidFill>
          </w14:textFill>
        </w:rPr>
        <w:t>中小微企业使用省市仪器共享服务平台入驻设备，落实科技创新券政策，降低企业创新成本</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p>
    <w:p w14:paraId="375BFFFB">
      <w:pPr>
        <w:shd w:val="clear"/>
        <w:spacing w:line="552"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（二）人才培养激励支持</w:t>
      </w:r>
    </w:p>
    <w:p w14:paraId="2588B3FB">
      <w:pPr>
        <w:shd w:val="clear"/>
        <w:spacing w:line="552"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市委人才办对“双落户”引进的高层次人才，在“淮上英才计划”中重点支持</w:t>
      </w:r>
      <w:r>
        <w:rPr>
          <w:rFonts w:hint="default" w:ascii="Times New Roman" w:hAnsi="Times New Roman" w:eastAsia="方正仿宋_GBK" w:cs="Times New Roman"/>
          <w:color w:val="000000" w:themeColor="text1"/>
          <w:sz w:val="32"/>
          <w:szCs w:val="32"/>
          <w14:textFill>
            <w14:solidFill>
              <w14:schemeClr w14:val="tx1"/>
            </w14:solidFill>
          </w14:textFill>
        </w:rPr>
        <w:t>。市人社局支持园区重点企业开展工程技术系列中级职称自主评审，拓宽技术人才职业发展通道。市教育局支持市属中职院校优先推荐服务企业解决实际问题的教师和技术攻关、成果转化成效显著教师参加中高级职称评审。对在淮高校与园区合作成效突出的团队和个人，在市级人才表彰奖励中予以倾斜。</w:t>
      </w:r>
    </w:p>
    <w:p w14:paraId="52D4C163">
      <w:pPr>
        <w:shd w:val="clear"/>
        <w:spacing w:line="552"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（三）财政金融定向支持</w:t>
      </w:r>
    </w:p>
    <w:p w14:paraId="28B1E6D3">
      <w:pPr>
        <w:shd w:val="clear"/>
        <w:spacing w:line="552"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市财政局统筹市级科技</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专项资金</w:t>
      </w:r>
      <w:r>
        <w:rPr>
          <w:rFonts w:hint="default" w:ascii="Times New Roman" w:hAnsi="Times New Roman" w:eastAsia="方正仿宋_GBK" w:cs="Times New Roman"/>
          <w:color w:val="000000" w:themeColor="text1"/>
          <w:sz w:val="32"/>
          <w:szCs w:val="32"/>
          <w14:textFill>
            <w14:solidFill>
              <w14:schemeClr w14:val="tx1"/>
            </w14:solidFill>
          </w14:textFill>
        </w:rPr>
        <w:t>对“双高协同”合作项目给予定向支持。推动市级科创基金优先投资“双高协同”创新项目，探索“先投后股”成果转化模式，带动社会资本跟投。支持开发园区联合金融机构对概念验证、科创接力、成果转化实施投贷联动、</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“拨投结合”</w:t>
      </w:r>
      <w:r>
        <w:rPr>
          <w:rFonts w:hint="default" w:ascii="Times New Roman" w:hAnsi="Times New Roman" w:eastAsia="方正仿宋_GBK" w:cs="Times New Roman"/>
          <w:color w:val="000000" w:themeColor="text1"/>
          <w:sz w:val="32"/>
          <w:szCs w:val="32"/>
          <w14:textFill>
            <w14:solidFill>
              <w14:schemeClr w14:val="tx1"/>
            </w14:solidFill>
          </w14:textFill>
        </w:rPr>
        <w:t>等新型支持模式，对高企培育等创新活动探索保险补贴机制，对合作项目给予贷款贴息支持。对引进外地高水平大学来淮设立新型研发机构的，将评价结果作为政策倾斜、项目推荐、资金支持的重要依据。</w:t>
      </w:r>
    </w:p>
    <w:p w14:paraId="44E79420">
      <w:pPr>
        <w:shd w:val="clear"/>
        <w:spacing w:line="552" w:lineRule="exact"/>
        <w:ind w:firstLine="643" w:firstLineChars="200"/>
        <w:rPr>
          <w:rFonts w:hint="default" w:ascii="Times New Roman" w:hAnsi="Times New Roman" w:eastAsia="方正楷体_GBK" w:cs="Times New Roman"/>
          <w:b/>
          <w:color w:val="000000" w:themeColor="text1"/>
          <w:sz w:val="32"/>
          <w:szCs w:val="32"/>
          <w14:textFill>
            <w14:solidFill>
              <w14:schemeClr w14:val="tx1"/>
            </w14:solidFill>
          </w14:textFill>
        </w:rPr>
      </w:pPr>
      <w:r>
        <w:rPr>
          <w:rFonts w:hint="default" w:ascii="Times New Roman" w:hAnsi="Times New Roman" w:eastAsia="方正楷体_GBK" w:cs="Times New Roman"/>
          <w:b/>
          <w:color w:val="000000" w:themeColor="text1"/>
          <w:sz w:val="32"/>
          <w:szCs w:val="32"/>
          <w14:textFill>
            <w14:solidFill>
              <w14:schemeClr w14:val="tx1"/>
            </w14:solidFill>
          </w14:textFill>
        </w:rPr>
        <w:t>（四）创新主体专项支持</w:t>
      </w:r>
    </w:p>
    <w:p w14:paraId="3FDBCADE">
      <w:pPr>
        <w:shd w:val="clear"/>
        <w:spacing w:line="552" w:lineRule="exact"/>
        <w:ind w:firstLine="640" w:firstLineChars="20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市科技局在市级科技计划中设立“双高协同”专项申报通道，优先支持“双高协同”主体申报项目，择优推荐国家、省重点研发计划。对企业委托高校院所开展的联合攻关项目，优先推荐申报省产学研合作项目。对园区与高校院所联合共建的创新联合体，符合条件的优先推荐申报省级创新联合体。</w:t>
      </w:r>
    </w:p>
    <w:p w14:paraId="51D479B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强化市级顶层系统谋划，建立健全‘双高协同’全域推广联席会议机制，推动各结对主体制定差异化方案、细化任务清单，形成协同联动工作格局。将“双高协同”工作成效纳入全市开发园区高质量发展动态监测评价体系和在淮大中专院校高质量发展考核评价体系，围绕产业赛道培育、平台建设、人才培养、生态营造、创新主体引培等维度开展专项评估，将评价结果作为政策倾斜、项目推荐、资金支持的重要依据。对评价优秀的结对主体优先推荐申报国家和省级项目，对评价不合格的限期整改、整改不到位的取消扶持政策，及时总结形成可复制可推广的改革经验，在全域“双高协同”探索工作中走在前列。</w:t>
      </w:r>
    </w:p>
    <w:p w14:paraId="5D4AA6D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p>
    <w:p w14:paraId="63E4902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p>
    <w:p w14:paraId="6D1B0E6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E0000" w:usb2="00000000" w:usb3="00000000" w:csb0="00040000" w:csb1="00000000"/>
    <w:embedRegular r:id="rId1" w:fontKey="{1F3BE4D6-A209-4298-B0CB-1E189F494768}"/>
  </w:font>
  <w:font w:name="方正仿宋_GBK">
    <w:panose1 w:val="02000000000000000000"/>
    <w:charset w:val="86"/>
    <w:family w:val="script"/>
    <w:pitch w:val="default"/>
    <w:sig w:usb0="00000001" w:usb1="080E0000" w:usb2="00000000" w:usb3="00000000" w:csb0="00040000" w:csb1="00000000"/>
    <w:embedRegular r:id="rId2" w:fontKey="{4A43FF7C-7C54-4C35-9491-7D61B3228340}"/>
  </w:font>
  <w:font w:name="方正黑体_GBK">
    <w:panose1 w:val="03000509000000000000"/>
    <w:charset w:val="86"/>
    <w:family w:val="auto"/>
    <w:pitch w:val="default"/>
    <w:sig w:usb0="00000001" w:usb1="080E0000" w:usb2="00000000" w:usb3="00000000" w:csb0="00040000" w:csb1="00000000"/>
    <w:embedRegular r:id="rId3" w:fontKey="{4FDD9339-69E2-42AC-B091-AEEC001FA945}"/>
  </w:font>
  <w:font w:name="方正楷体_GBK">
    <w:panose1 w:val="02000000000000000000"/>
    <w:charset w:val="86"/>
    <w:family w:val="script"/>
    <w:pitch w:val="default"/>
    <w:sig w:usb0="00000001" w:usb1="080E0000" w:usb2="00000000" w:usb3="00000000" w:csb0="00040000" w:csb1="00000000"/>
    <w:embedRegular r:id="rId4" w:fontKey="{F3303C62-B6A1-453B-8409-EEE8F68E9FAC}"/>
  </w:font>
  <w:font w:name="方正楷体_GB2312">
    <w:panose1 w:val="02000000000000000000"/>
    <w:charset w:val="86"/>
    <w:family w:val="auto"/>
    <w:pitch w:val="default"/>
    <w:sig w:usb0="A00002BF" w:usb1="184F6CFA" w:usb2="00000012" w:usb3="00000000" w:csb0="00040001" w:csb1="00000000"/>
    <w:embedRegular r:id="rId5" w:fontKey="{66868119-26E3-44F8-89A3-89561821C6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D397E"/>
    <w:rsid w:val="058C61C4"/>
    <w:rsid w:val="08220198"/>
    <w:rsid w:val="0A2471FE"/>
    <w:rsid w:val="0B652896"/>
    <w:rsid w:val="0D3567F8"/>
    <w:rsid w:val="0D7F2414"/>
    <w:rsid w:val="0F582966"/>
    <w:rsid w:val="13E0468B"/>
    <w:rsid w:val="164E2A28"/>
    <w:rsid w:val="1F742942"/>
    <w:rsid w:val="23637E24"/>
    <w:rsid w:val="249A4952"/>
    <w:rsid w:val="29D706A8"/>
    <w:rsid w:val="2C6F6BA4"/>
    <w:rsid w:val="307E1F15"/>
    <w:rsid w:val="314B2A02"/>
    <w:rsid w:val="32436E92"/>
    <w:rsid w:val="33BA0602"/>
    <w:rsid w:val="34542655"/>
    <w:rsid w:val="34D27372"/>
    <w:rsid w:val="36FD0BE3"/>
    <w:rsid w:val="387C7B7A"/>
    <w:rsid w:val="38A27D1B"/>
    <w:rsid w:val="39AF3FEA"/>
    <w:rsid w:val="39D209B6"/>
    <w:rsid w:val="3A5C2AE4"/>
    <w:rsid w:val="3B0E7770"/>
    <w:rsid w:val="3C4F54BB"/>
    <w:rsid w:val="3E01461B"/>
    <w:rsid w:val="3FA04AC6"/>
    <w:rsid w:val="3FE452BE"/>
    <w:rsid w:val="40427093"/>
    <w:rsid w:val="41DB2855"/>
    <w:rsid w:val="422E6C2B"/>
    <w:rsid w:val="42BA3A2A"/>
    <w:rsid w:val="437E0957"/>
    <w:rsid w:val="447B7648"/>
    <w:rsid w:val="4A1031A1"/>
    <w:rsid w:val="50F4795F"/>
    <w:rsid w:val="55265DD6"/>
    <w:rsid w:val="55E008AA"/>
    <w:rsid w:val="5C3D397E"/>
    <w:rsid w:val="5C623A07"/>
    <w:rsid w:val="5CD20C6D"/>
    <w:rsid w:val="612A6633"/>
    <w:rsid w:val="62B36FB8"/>
    <w:rsid w:val="62DB6B42"/>
    <w:rsid w:val="64A14DFF"/>
    <w:rsid w:val="6627575A"/>
    <w:rsid w:val="68700DAB"/>
    <w:rsid w:val="687344AD"/>
    <w:rsid w:val="6AD1362E"/>
    <w:rsid w:val="6AFC691C"/>
    <w:rsid w:val="6B5F715A"/>
    <w:rsid w:val="6D9044C8"/>
    <w:rsid w:val="6DB52B5E"/>
    <w:rsid w:val="6E0A192E"/>
    <w:rsid w:val="705240A7"/>
    <w:rsid w:val="78373695"/>
    <w:rsid w:val="7BEA4B4E"/>
    <w:rsid w:val="7DD9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5f7cdaa-1838-40f7-a226-304b701963b4}">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4003</Words>
  <Characters>4078</Characters>
  <Lines>0</Lines>
  <Paragraphs>0</Paragraphs>
  <TotalTime>0</TotalTime>
  <ScaleCrop>false</ScaleCrop>
  <LinksUpToDate>false</LinksUpToDate>
  <CharactersWithSpaces>4078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2026-07-23T01:25:00Z</dcterms:created>
  <dc:creator>Administrator</dc:creator>
  <cp:lastModifiedBy>Administrator</cp:lastModifiedBy>
  <cp:lastPrinted>2026-08-07T06:43:00Z</cp:lastPrinted>
  <dcterms:modified xsi:type="dcterms:W3CDTF">2026-08-12T01:37:14Z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1CDC90B894FA42ACADE3F9BE5A9E17FC_13</vt:lpwstr>
  </property>
  <property fmtid="{D5CDD505-2E9C-101B-9397-08002B2CF9AE}" pid="4" name="KSOTemplateDocerSaveRecord">
    <vt:lpwstr>eyJoZGlkIjoiYTNkZTlhMzM3YzNjZDE1N2VkZDU5OTc2NjRmM2QyYmQiLCJ1c2VySWQiOiI5MDc1ODA1OTIifQ==</vt:lpwstr>
  </property>
</Properties>
</file>